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5A6B" w14:textId="77777777" w:rsidR="00723B02" w:rsidRDefault="00723B02" w:rsidP="00723B02">
      <w:pPr>
        <w:spacing w:line="240" w:lineRule="auto"/>
        <w:ind w:left="720" w:right="-270"/>
        <w:jc w:val="both"/>
        <w:rPr>
          <w:rFonts w:ascii="Times New Roman" w:eastAsia="MS Mincho" w:hAnsi="Times New Roman" w:cs="Times New Roman"/>
          <w:sz w:val="24"/>
          <w:szCs w:val="24"/>
        </w:rPr>
      </w:pPr>
      <w:r w:rsidRPr="008D07FF">
        <w:rPr>
          <w:rFonts w:ascii="Times New Roman" w:eastAsia="MS Mincho" w:hAnsi="Times New Roman" w:cs="Times New Roman"/>
          <w:b/>
          <w:bCs/>
          <w:sz w:val="24"/>
          <w:szCs w:val="24"/>
          <w:u w:val="single"/>
        </w:rPr>
        <w:t>Purpos</w:t>
      </w:r>
      <w:r>
        <w:rPr>
          <w:rFonts w:ascii="Times New Roman" w:eastAsia="MS Mincho" w:hAnsi="Times New Roman" w:cs="Times New Roman"/>
          <w:b/>
          <w:bCs/>
          <w:sz w:val="24"/>
          <w:szCs w:val="24"/>
          <w:u w:val="single"/>
        </w:rPr>
        <w:t>e:</w:t>
      </w:r>
      <w:r w:rsidRPr="008D07FF">
        <w:rPr>
          <w:rFonts w:ascii="Times New Roman" w:eastAsia="MS Mincho" w:hAnsi="Times New Roman" w:cs="Times New Roman"/>
          <w:sz w:val="24"/>
          <w:szCs w:val="24"/>
        </w:rPr>
        <w:t xml:space="preserve"> </w:t>
      </w:r>
    </w:p>
    <w:p w14:paraId="189898F3" w14:textId="18716C9B" w:rsidR="00723B02" w:rsidRDefault="00723B02" w:rsidP="00723B02">
      <w:pPr>
        <w:spacing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purpose of the Pharmacist Due Diligence “Know the Prescriber” policy and procedure </w:t>
      </w:r>
      <w:proofErr w:type="gramStart"/>
      <w:r>
        <w:rPr>
          <w:rFonts w:ascii="Times New Roman" w:eastAsia="MS Mincho" w:hAnsi="Times New Roman" w:cs="Times New Roman"/>
          <w:sz w:val="24"/>
          <w:szCs w:val="24"/>
        </w:rPr>
        <w:t>is</w:t>
      </w:r>
      <w:proofErr w:type="gramEnd"/>
      <w:r>
        <w:rPr>
          <w:rFonts w:ascii="Times New Roman" w:eastAsia="MS Mincho" w:hAnsi="Times New Roman" w:cs="Times New Roman"/>
          <w:sz w:val="24"/>
          <w:szCs w:val="24"/>
        </w:rPr>
        <w:t xml:space="preserve"> to </w:t>
      </w:r>
      <w:r w:rsidR="000A6867">
        <w:rPr>
          <w:rFonts w:ascii="Times New Roman" w:eastAsia="MS Mincho" w:hAnsi="Times New Roman" w:cs="Times New Roman"/>
          <w:sz w:val="24"/>
          <w:szCs w:val="24"/>
        </w:rPr>
        <w:t>provide reasonable guidance for</w:t>
      </w:r>
      <w:r>
        <w:rPr>
          <w:rFonts w:ascii="Times New Roman" w:eastAsia="MS Mincho" w:hAnsi="Times New Roman" w:cs="Times New Roman"/>
          <w:sz w:val="24"/>
          <w:szCs w:val="24"/>
        </w:rPr>
        <w:t xml:space="preserve"> the </w:t>
      </w:r>
      <w:r w:rsidR="000A6867">
        <w:rPr>
          <w:rFonts w:ascii="Times New Roman" w:eastAsia="Calibri" w:hAnsi="Times New Roman" w:cs="Times New Roman"/>
          <w:sz w:val="24"/>
          <w:szCs w:val="24"/>
        </w:rPr>
        <w:t>Dispensing Pharmacist</w:t>
      </w:r>
      <w:r w:rsidR="000A6867" w:rsidRPr="00996536">
        <w:rPr>
          <w:rFonts w:ascii="Times New Roman" w:eastAsia="Calibri" w:hAnsi="Times New Roman" w:cs="Times New Roman"/>
          <w:sz w:val="24"/>
          <w:szCs w:val="24"/>
        </w:rPr>
        <w:t xml:space="preserve"> </w:t>
      </w:r>
      <w:r w:rsidR="000A6867">
        <w:rPr>
          <w:rFonts w:ascii="Times New Roman" w:eastAsia="MS Mincho" w:hAnsi="Times New Roman" w:cs="Times New Roman"/>
          <w:sz w:val="24"/>
          <w:szCs w:val="24"/>
        </w:rPr>
        <w:t xml:space="preserve">to </w:t>
      </w:r>
      <w:r w:rsidRPr="009C1960">
        <w:rPr>
          <w:rFonts w:ascii="Times New Roman" w:hAnsi="Times New Roman" w:cs="Times New Roman"/>
          <w:sz w:val="24"/>
          <w:szCs w:val="24"/>
        </w:rPr>
        <w:t>notic</w:t>
      </w:r>
      <w:r>
        <w:rPr>
          <w:rFonts w:ascii="Times New Roman" w:hAnsi="Times New Roman" w:cs="Times New Roman"/>
          <w:sz w:val="24"/>
          <w:szCs w:val="24"/>
        </w:rPr>
        <w:t>e</w:t>
      </w:r>
      <w:r w:rsidRPr="009C1960">
        <w:rPr>
          <w:rFonts w:ascii="Times New Roman" w:hAnsi="Times New Roman" w:cs="Times New Roman"/>
          <w:sz w:val="24"/>
          <w:szCs w:val="24"/>
        </w:rPr>
        <w:t xml:space="preserve"> and resol</w:t>
      </w:r>
      <w:r>
        <w:rPr>
          <w:rFonts w:ascii="Times New Roman" w:hAnsi="Times New Roman" w:cs="Times New Roman"/>
          <w:sz w:val="24"/>
          <w:szCs w:val="24"/>
        </w:rPr>
        <w:t>ve</w:t>
      </w:r>
      <w:r w:rsidRPr="009C1960">
        <w:rPr>
          <w:rFonts w:ascii="Times New Roman" w:hAnsi="Times New Roman" w:cs="Times New Roman"/>
          <w:sz w:val="24"/>
          <w:szCs w:val="24"/>
        </w:rPr>
        <w:t xml:space="preserve"> red flags </w:t>
      </w:r>
      <w:r>
        <w:rPr>
          <w:rFonts w:ascii="Times New Roman" w:hAnsi="Times New Roman" w:cs="Times New Roman"/>
          <w:sz w:val="24"/>
          <w:szCs w:val="24"/>
        </w:rPr>
        <w:t>related to prescribers</w:t>
      </w:r>
      <w:r w:rsidRPr="009C1960">
        <w:rPr>
          <w:rFonts w:ascii="Times New Roman" w:hAnsi="Times New Roman" w:cs="Times New Roman"/>
          <w:sz w:val="24"/>
          <w:szCs w:val="24"/>
        </w:rPr>
        <w:t xml:space="preserve"> under </w:t>
      </w:r>
      <w:r w:rsidR="000A6867">
        <w:rPr>
          <w:rFonts w:ascii="Times New Roman" w:hAnsi="Times New Roman" w:cs="Times New Roman"/>
          <w:sz w:val="24"/>
          <w:szCs w:val="24"/>
        </w:rPr>
        <w:t xml:space="preserve">the </w:t>
      </w:r>
      <w:r w:rsidR="000A6867">
        <w:rPr>
          <w:rFonts w:ascii="Times New Roman" w:eastAsia="Calibri" w:hAnsi="Times New Roman" w:cs="Times New Roman"/>
          <w:sz w:val="24"/>
          <w:szCs w:val="24"/>
        </w:rPr>
        <w:t>Dispensing Pharmacist</w:t>
      </w:r>
      <w:r w:rsidR="000A6867">
        <w:rPr>
          <w:rFonts w:ascii="Times New Roman" w:eastAsia="Calibri" w:hAnsi="Times New Roman" w:cs="Times New Roman"/>
          <w:sz w:val="24"/>
          <w:szCs w:val="24"/>
        </w:rPr>
        <w:t>’s</w:t>
      </w:r>
      <w:r w:rsidR="000A6867" w:rsidRPr="00996536">
        <w:rPr>
          <w:rFonts w:ascii="Times New Roman" w:eastAsia="Calibri" w:hAnsi="Times New Roman" w:cs="Times New Roman"/>
          <w:sz w:val="24"/>
          <w:szCs w:val="24"/>
        </w:rPr>
        <w:t xml:space="preserve"> </w:t>
      </w:r>
      <w:r w:rsidRPr="009C1960">
        <w:rPr>
          <w:rFonts w:ascii="Times New Roman" w:hAnsi="Times New Roman" w:cs="Times New Roman"/>
          <w:sz w:val="24"/>
          <w:szCs w:val="24"/>
        </w:rPr>
        <w:t xml:space="preserve">corresponding responsibility </w:t>
      </w:r>
      <w:r w:rsidR="000A6867">
        <w:rPr>
          <w:rFonts w:ascii="Times New Roman" w:hAnsi="Times New Roman" w:cs="Times New Roman"/>
          <w:sz w:val="24"/>
          <w:szCs w:val="24"/>
        </w:rPr>
        <w:t xml:space="preserve">as it relates to </w:t>
      </w:r>
      <w:r w:rsidRPr="009C1960">
        <w:rPr>
          <w:rFonts w:ascii="Times New Roman" w:hAnsi="Times New Roman" w:cs="Times New Roman"/>
          <w:sz w:val="24"/>
          <w:szCs w:val="24"/>
        </w:rPr>
        <w:t>controlled substance prescription</w:t>
      </w:r>
      <w:r w:rsidR="000A6867">
        <w:rPr>
          <w:rFonts w:ascii="Times New Roman" w:hAnsi="Times New Roman" w:cs="Times New Roman"/>
          <w:sz w:val="24"/>
          <w:szCs w:val="24"/>
        </w:rPr>
        <w:t xml:space="preserve"> dispensing</w:t>
      </w:r>
      <w:r w:rsidRPr="009C1960">
        <w:rPr>
          <w:rFonts w:ascii="Times New Roman" w:hAnsi="Times New Roman" w:cs="Times New Roman"/>
          <w:sz w:val="24"/>
          <w:szCs w:val="24"/>
        </w:rPr>
        <w:t>.</w:t>
      </w:r>
    </w:p>
    <w:p w14:paraId="63EF63B6" w14:textId="6A4FF5E1" w:rsidR="00723B02" w:rsidRPr="008D07FF" w:rsidRDefault="00723B02" w:rsidP="00723B02">
      <w:pPr>
        <w:spacing w:line="240" w:lineRule="auto"/>
        <w:ind w:left="720" w:right="-270"/>
        <w:jc w:val="both"/>
        <w:rPr>
          <w:rFonts w:ascii="Times New Roman" w:eastAsia="MS Mincho" w:hAnsi="Times New Roman" w:cs="Times New Roman"/>
          <w:b/>
          <w:bCs/>
          <w:sz w:val="24"/>
          <w:szCs w:val="24"/>
          <w:u w:val="single"/>
        </w:rPr>
      </w:pPr>
      <w:r w:rsidRPr="008D07FF">
        <w:rPr>
          <w:rFonts w:ascii="Times New Roman" w:eastAsia="MS Mincho" w:hAnsi="Times New Roman" w:cs="Times New Roman"/>
          <w:b/>
          <w:bCs/>
          <w:sz w:val="24"/>
          <w:szCs w:val="24"/>
          <w:u w:val="single"/>
        </w:rPr>
        <w:t>Scope</w:t>
      </w:r>
      <w:r>
        <w:rPr>
          <w:rFonts w:ascii="Times New Roman" w:eastAsia="MS Mincho" w:hAnsi="Times New Roman" w:cs="Times New Roman"/>
          <w:b/>
          <w:bCs/>
          <w:sz w:val="24"/>
          <w:szCs w:val="24"/>
          <w:u w:val="single"/>
        </w:rPr>
        <w:t>:</w:t>
      </w:r>
    </w:p>
    <w:p w14:paraId="27B51E16" w14:textId="75F5405F" w:rsidR="00723B02" w:rsidRDefault="000A6867" w:rsidP="00723B02">
      <w:pPr>
        <w:spacing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policy and procedure </w:t>
      </w:r>
      <w:proofErr w:type="gramStart"/>
      <w:r>
        <w:rPr>
          <w:rFonts w:ascii="Times New Roman" w:eastAsia="MS Mincho" w:hAnsi="Times New Roman" w:cs="Times New Roman"/>
          <w:sz w:val="24"/>
          <w:szCs w:val="24"/>
        </w:rPr>
        <w:t>applies</w:t>
      </w:r>
      <w:proofErr w:type="gramEnd"/>
      <w:r>
        <w:rPr>
          <w:rFonts w:ascii="Times New Roman" w:eastAsia="MS Mincho" w:hAnsi="Times New Roman" w:cs="Times New Roman"/>
          <w:sz w:val="24"/>
          <w:szCs w:val="24"/>
        </w:rPr>
        <w:t xml:space="preserve"> to {List all pharmacies under common ownership} and to the </w:t>
      </w:r>
      <w:r>
        <w:rPr>
          <w:rFonts w:ascii="Times New Roman" w:eastAsia="MS Mincho" w:hAnsi="Times New Roman" w:cs="Times New Roman"/>
          <w:sz w:val="24"/>
          <w:szCs w:val="24"/>
        </w:rPr>
        <w:t>pharmacist dispensing controlled substances in those facilities.</w:t>
      </w:r>
    </w:p>
    <w:p w14:paraId="7E843A00" w14:textId="022D8788" w:rsidR="00723B02" w:rsidRPr="008D07FF" w:rsidRDefault="00723B02" w:rsidP="00723B02">
      <w:pPr>
        <w:spacing w:line="240" w:lineRule="auto"/>
        <w:ind w:left="720" w:right="-270"/>
        <w:jc w:val="both"/>
        <w:rPr>
          <w:rFonts w:ascii="Times New Roman" w:eastAsia="Calibri" w:hAnsi="Times New Roman" w:cs="Times New Roman"/>
          <w:sz w:val="24"/>
          <w:szCs w:val="24"/>
        </w:rPr>
      </w:pPr>
      <w:r w:rsidRPr="008D07FF">
        <w:rPr>
          <w:rFonts w:ascii="Times New Roman" w:eastAsia="MS Mincho" w:hAnsi="Times New Roman" w:cs="Times New Roman"/>
          <w:b/>
          <w:bCs/>
          <w:sz w:val="24"/>
          <w:szCs w:val="24"/>
          <w:u w:val="single"/>
        </w:rPr>
        <w:t>Responsibilit</w:t>
      </w:r>
      <w:r>
        <w:rPr>
          <w:rFonts w:ascii="Times New Roman" w:eastAsia="MS Mincho" w:hAnsi="Times New Roman" w:cs="Times New Roman"/>
          <w:b/>
          <w:bCs/>
          <w:sz w:val="24"/>
          <w:szCs w:val="24"/>
          <w:u w:val="single"/>
        </w:rPr>
        <w:t>y:</w:t>
      </w:r>
      <w:r w:rsidRPr="008D07FF">
        <w:rPr>
          <w:rFonts w:ascii="Times New Roman" w:eastAsia="Calibri" w:hAnsi="Times New Roman" w:cs="Times New Roman"/>
          <w:sz w:val="24"/>
          <w:szCs w:val="24"/>
        </w:rPr>
        <w:t xml:space="preserve"> </w:t>
      </w:r>
    </w:p>
    <w:p w14:paraId="692993D0" w14:textId="591AA463" w:rsidR="000A6867" w:rsidRDefault="000A6867" w:rsidP="000A6867">
      <w:pPr>
        <w:spacing w:line="240" w:lineRule="auto"/>
        <w:ind w:left="720" w:right="-270"/>
        <w:jc w:val="both"/>
        <w:rPr>
          <w:rFonts w:ascii="Times New Roman" w:eastAsia="MS Mincho" w:hAnsi="Times New Roman" w:cs="Times New Roman"/>
          <w:sz w:val="24"/>
          <w:szCs w:val="24"/>
        </w:rPr>
      </w:pPr>
      <w:r w:rsidRPr="00996536">
        <w:rPr>
          <w:rFonts w:ascii="Times New Roman" w:eastAsia="Calibri" w:hAnsi="Times New Roman" w:cs="Times New Roman"/>
          <w:sz w:val="24"/>
          <w:szCs w:val="24"/>
        </w:rPr>
        <w:t xml:space="preserve">It is the responsibility of the </w:t>
      </w:r>
      <w:r>
        <w:rPr>
          <w:rFonts w:ascii="Times New Roman" w:eastAsia="Calibri" w:hAnsi="Times New Roman" w:cs="Times New Roman"/>
          <w:sz w:val="24"/>
          <w:szCs w:val="24"/>
        </w:rPr>
        <w:t>Dispensing Pharmacist</w:t>
      </w:r>
      <w:r w:rsidRPr="00996536">
        <w:rPr>
          <w:rFonts w:ascii="Times New Roman" w:eastAsia="Calibri" w:hAnsi="Times New Roman" w:cs="Times New Roman"/>
          <w:sz w:val="24"/>
          <w:szCs w:val="24"/>
        </w:rPr>
        <w:t xml:space="preserve"> to remain aware and current of laws and regulations affecting the controlled substance </w:t>
      </w:r>
      <w:r w:rsidRPr="009C1960">
        <w:rPr>
          <w:rFonts w:ascii="Times New Roman" w:hAnsi="Times New Roman" w:cs="Times New Roman"/>
          <w:sz w:val="24"/>
          <w:szCs w:val="24"/>
        </w:rPr>
        <w:t>prescription</w:t>
      </w:r>
      <w:r>
        <w:rPr>
          <w:rFonts w:ascii="Times New Roman" w:hAnsi="Times New Roman" w:cs="Times New Roman"/>
          <w:sz w:val="24"/>
          <w:szCs w:val="24"/>
        </w:rPr>
        <w:t xml:space="preserve"> dispensing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Dispensing Pharmacist can not delegate the corresponding responsibility to any person or entity.</w:t>
      </w:r>
    </w:p>
    <w:p w14:paraId="1457CA56" w14:textId="754F0136" w:rsidR="00723B02" w:rsidRPr="00996536" w:rsidRDefault="00723B02" w:rsidP="00723B02">
      <w:pPr>
        <w:spacing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u w:val="single"/>
        </w:rPr>
        <w:t>DEFINITIONS</w:t>
      </w:r>
      <w:r w:rsidRPr="00996536">
        <w:rPr>
          <w:rFonts w:ascii="Times New Roman" w:eastAsia="MS Mincho" w:hAnsi="Times New Roman" w:cs="Times New Roman"/>
          <w:b/>
          <w:sz w:val="24"/>
          <w:szCs w:val="24"/>
        </w:rPr>
        <w:t>:</w:t>
      </w:r>
    </w:p>
    <w:p w14:paraId="766C3582" w14:textId="03A66DBF" w:rsidR="00723B02" w:rsidRPr="00996536" w:rsidRDefault="00723B02" w:rsidP="00723B02">
      <w:pPr>
        <w:spacing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rPr>
        <w:t xml:space="preserve">Controlled Substances: </w:t>
      </w:r>
      <w:r w:rsidRPr="00996536">
        <w:rPr>
          <w:rFonts w:ascii="Times New Roman" w:eastAsia="MS Mincho" w:hAnsi="Times New Roman" w:cs="Times New Roman"/>
          <w:sz w:val="24"/>
          <w:szCs w:val="24"/>
        </w:rPr>
        <w:t xml:space="preserve"> </w:t>
      </w:r>
    </w:p>
    <w:p w14:paraId="304DB457" w14:textId="6EA626FB" w:rsidR="00723B02" w:rsidRDefault="00723B02" w:rsidP="00723B02">
      <w:pPr>
        <w:spacing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u w:val="single"/>
        </w:rPr>
        <w:t>PROCEDURE</w:t>
      </w:r>
      <w:r w:rsidRPr="00996536">
        <w:rPr>
          <w:rFonts w:ascii="Times New Roman" w:eastAsia="MS Mincho" w:hAnsi="Times New Roman" w:cs="Times New Roman"/>
          <w:b/>
          <w:sz w:val="24"/>
          <w:szCs w:val="24"/>
        </w:rPr>
        <w:t xml:space="preserve">:  </w:t>
      </w:r>
    </w:p>
    <w:p w14:paraId="77324F6F" w14:textId="57FA194D" w:rsidR="007A4BD0" w:rsidRPr="007A4BD0" w:rsidRDefault="007A4BD0" w:rsidP="00723B02">
      <w:pPr>
        <w:spacing w:line="240" w:lineRule="auto"/>
        <w:ind w:left="720" w:right="-270"/>
        <w:jc w:val="both"/>
        <w:rPr>
          <w:rFonts w:ascii="Times New Roman" w:eastAsia="MS Mincho" w:hAnsi="Times New Roman" w:cs="Times New Roman"/>
          <w:bCs/>
          <w:sz w:val="24"/>
          <w:szCs w:val="24"/>
        </w:rPr>
      </w:pPr>
      <w:r w:rsidRPr="007A4BD0">
        <w:rPr>
          <w:rFonts w:ascii="Times New Roman" w:eastAsia="MS Mincho" w:hAnsi="Times New Roman" w:cs="Times New Roman"/>
          <w:bCs/>
          <w:sz w:val="24"/>
          <w:szCs w:val="24"/>
        </w:rPr>
        <w:t xml:space="preserve">Identification of potential problems </w:t>
      </w:r>
    </w:p>
    <w:p w14:paraId="45530AF7" w14:textId="77777777" w:rsidR="007A4BD0" w:rsidRPr="009C1960" w:rsidRDefault="007A4BD0" w:rsidP="007A4BD0">
      <w:pPr>
        <w:ind w:firstLine="720"/>
        <w:rPr>
          <w:rFonts w:ascii="Times New Roman" w:hAnsi="Times New Roman" w:cs="Times New Roman"/>
          <w:b/>
          <w:bCs/>
          <w:sz w:val="24"/>
          <w:szCs w:val="24"/>
          <w:u w:val="single"/>
        </w:rPr>
      </w:pPr>
      <w:r w:rsidRPr="009C1960">
        <w:rPr>
          <w:rFonts w:ascii="Times New Roman" w:hAnsi="Times New Roman" w:cs="Times New Roman"/>
          <w:b/>
          <w:bCs/>
          <w:sz w:val="24"/>
          <w:szCs w:val="24"/>
          <w:u w:val="single"/>
        </w:rPr>
        <w:t>Red Flags</w:t>
      </w:r>
    </w:p>
    <w:p w14:paraId="1DD87D19" w14:textId="77777777" w:rsidR="007A4BD0" w:rsidRPr="009C1960" w:rsidRDefault="007A4BD0" w:rsidP="007A4BD0">
      <w:pPr>
        <w:pStyle w:val="ListParagraph"/>
        <w:numPr>
          <w:ilvl w:val="0"/>
          <w:numId w:val="3"/>
        </w:numPr>
        <w:ind w:left="1440"/>
        <w:rPr>
          <w:rFonts w:ascii="Times New Roman" w:hAnsi="Times New Roman" w:cs="Times New Roman"/>
          <w:b/>
          <w:bCs/>
          <w:sz w:val="24"/>
          <w:szCs w:val="24"/>
          <w:u w:val="single"/>
        </w:rPr>
      </w:pPr>
      <w:r w:rsidRPr="009C1960">
        <w:rPr>
          <w:rFonts w:ascii="Times New Roman" w:hAnsi="Times New Roman" w:cs="Times New Roman"/>
          <w:sz w:val="24"/>
          <w:szCs w:val="24"/>
        </w:rPr>
        <w:t>Distance- Patient and or prescriber not being located within the stores geographic area.</w:t>
      </w:r>
    </w:p>
    <w:p w14:paraId="1543F9FB" w14:textId="77777777" w:rsidR="007A4BD0" w:rsidRPr="009C1960" w:rsidRDefault="007A4BD0" w:rsidP="007A4BD0">
      <w:pPr>
        <w:pStyle w:val="ListParagraph"/>
        <w:numPr>
          <w:ilvl w:val="1"/>
          <w:numId w:val="3"/>
        </w:numPr>
        <w:rPr>
          <w:rFonts w:ascii="Times New Roman" w:hAnsi="Times New Roman" w:cs="Times New Roman"/>
          <w:b/>
          <w:bCs/>
          <w:sz w:val="24"/>
          <w:szCs w:val="24"/>
          <w:u w:val="single"/>
        </w:rPr>
      </w:pPr>
      <w:r w:rsidRPr="009C1960">
        <w:rPr>
          <w:rFonts w:ascii="Times New Roman" w:hAnsi="Times New Roman" w:cs="Times New Roman"/>
          <w:sz w:val="24"/>
          <w:szCs w:val="24"/>
        </w:rPr>
        <w:t>Patients traveling distance to pharmacy and or the doctor</w:t>
      </w:r>
    </w:p>
    <w:p w14:paraId="6BD9DA1D" w14:textId="77777777" w:rsidR="007A4BD0" w:rsidRPr="009C1960" w:rsidRDefault="007A4BD0" w:rsidP="007A4BD0">
      <w:pPr>
        <w:pStyle w:val="ListParagraph"/>
        <w:numPr>
          <w:ilvl w:val="0"/>
          <w:numId w:val="4"/>
        </w:numPr>
        <w:ind w:left="1440"/>
        <w:rPr>
          <w:rFonts w:ascii="Times New Roman" w:hAnsi="Times New Roman" w:cs="Times New Roman"/>
          <w:b/>
          <w:bCs/>
          <w:sz w:val="24"/>
          <w:szCs w:val="24"/>
          <w:u w:val="single"/>
        </w:rPr>
      </w:pPr>
      <w:r w:rsidRPr="009C1960">
        <w:rPr>
          <w:rFonts w:ascii="Times New Roman" w:hAnsi="Times New Roman" w:cs="Times New Roman"/>
          <w:sz w:val="24"/>
          <w:szCs w:val="24"/>
        </w:rPr>
        <w:t xml:space="preserve">Cash- Cash payments for prescriptions, if the patient has insurance but is paying cash. </w:t>
      </w:r>
    </w:p>
    <w:p w14:paraId="1F9172C3" w14:textId="77777777" w:rsidR="007A4BD0" w:rsidRPr="009C1960" w:rsidRDefault="007A4BD0" w:rsidP="007A4BD0">
      <w:pPr>
        <w:pStyle w:val="ListParagraph"/>
        <w:numPr>
          <w:ilvl w:val="0"/>
          <w:numId w:val="4"/>
        </w:numPr>
        <w:ind w:left="1440"/>
        <w:rPr>
          <w:rFonts w:ascii="Times New Roman" w:hAnsi="Times New Roman" w:cs="Times New Roman"/>
          <w:b/>
          <w:bCs/>
          <w:sz w:val="24"/>
          <w:szCs w:val="24"/>
          <w:u w:val="single"/>
        </w:rPr>
      </w:pPr>
      <w:r w:rsidRPr="009C1960">
        <w:rPr>
          <w:rFonts w:ascii="Times New Roman" w:hAnsi="Times New Roman" w:cs="Times New Roman"/>
          <w:sz w:val="24"/>
          <w:szCs w:val="24"/>
        </w:rPr>
        <w:t>Early Fills- Patients attempting to refill early or consistently showing up at the first available moment when a refill can be obtained.</w:t>
      </w:r>
    </w:p>
    <w:p w14:paraId="29EC6FCB" w14:textId="77777777" w:rsidR="007A4BD0" w:rsidRPr="009C1960" w:rsidRDefault="007A4BD0" w:rsidP="007A4BD0">
      <w:pPr>
        <w:pStyle w:val="ListParagraph"/>
        <w:numPr>
          <w:ilvl w:val="0"/>
          <w:numId w:val="4"/>
        </w:numPr>
        <w:ind w:left="1440"/>
        <w:rPr>
          <w:rFonts w:ascii="Times New Roman" w:hAnsi="Times New Roman" w:cs="Times New Roman"/>
          <w:b/>
          <w:bCs/>
          <w:sz w:val="24"/>
          <w:szCs w:val="24"/>
          <w:u w:val="single"/>
        </w:rPr>
      </w:pPr>
      <w:r w:rsidRPr="009C1960">
        <w:rPr>
          <w:rFonts w:ascii="Times New Roman" w:hAnsi="Times New Roman" w:cs="Times New Roman"/>
          <w:sz w:val="24"/>
          <w:szCs w:val="24"/>
        </w:rPr>
        <w:t xml:space="preserve">Patients has scripts for multiple medications but is only wanting the control substance filled. </w:t>
      </w:r>
    </w:p>
    <w:p w14:paraId="6E898720" w14:textId="77777777" w:rsidR="007A4BD0" w:rsidRPr="009C1960" w:rsidRDefault="007A4BD0" w:rsidP="007A4BD0">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Prescriptions from emergency room for a large supply. For example, a ninety-day supply of medication would typically not come from an emergency room.</w:t>
      </w:r>
    </w:p>
    <w:p w14:paraId="2D11C24C" w14:textId="77777777" w:rsidR="007A4BD0" w:rsidRPr="009C1960" w:rsidRDefault="007A4BD0" w:rsidP="007A4BD0">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The same diagnosis codes for many patients</w:t>
      </w:r>
    </w:p>
    <w:p w14:paraId="1D57B833" w14:textId="77777777" w:rsidR="007A4BD0" w:rsidRPr="009C1960" w:rsidRDefault="007A4BD0" w:rsidP="007A4BD0">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Same combinations of drugs prescribed for multiple patients.</w:t>
      </w:r>
    </w:p>
    <w:p w14:paraId="49424728" w14:textId="77777777" w:rsidR="007A4BD0" w:rsidRPr="009C1960" w:rsidRDefault="007A4BD0" w:rsidP="007A4BD0">
      <w:pPr>
        <w:pStyle w:val="ListParagraph"/>
        <w:rPr>
          <w:rFonts w:ascii="Times New Roman" w:hAnsi="Times New Roman" w:cs="Times New Roman"/>
          <w:b/>
          <w:bCs/>
          <w:sz w:val="24"/>
          <w:szCs w:val="24"/>
          <w:u w:val="single"/>
        </w:rPr>
      </w:pPr>
    </w:p>
    <w:p w14:paraId="6C455B35" w14:textId="77777777" w:rsidR="001144E9" w:rsidRPr="009C1960" w:rsidRDefault="001144E9" w:rsidP="000A6867">
      <w:pPr>
        <w:ind w:firstLine="720"/>
        <w:rPr>
          <w:rFonts w:ascii="Times New Roman" w:hAnsi="Times New Roman" w:cs="Times New Roman"/>
          <w:b/>
          <w:bCs/>
          <w:sz w:val="24"/>
          <w:szCs w:val="24"/>
          <w:u w:val="single"/>
        </w:rPr>
      </w:pPr>
      <w:r w:rsidRPr="009C1960">
        <w:rPr>
          <w:rFonts w:ascii="Times New Roman" w:hAnsi="Times New Roman" w:cs="Times New Roman"/>
          <w:b/>
          <w:bCs/>
          <w:sz w:val="24"/>
          <w:szCs w:val="24"/>
          <w:u w:val="single"/>
        </w:rPr>
        <w:t>Presentations of the Prescription:</w:t>
      </w:r>
    </w:p>
    <w:p w14:paraId="3BC8FAB0"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A handwritten prescription is presented at the pharmacy, it looks altered or flawlessly thorough (contains patient address. Quantity spelled out, patients date of birth, and multiple provider identifiers, etc.)</w:t>
      </w:r>
    </w:p>
    <w:p w14:paraId="28460449"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Irregularities on the face of the prescription itself</w:t>
      </w:r>
    </w:p>
    <w:p w14:paraId="211F2FE6"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 xml:space="preserve">The pharmacist becomes aware that the prescribers Drug Enforcement Agency (DEA) registration has been previously suspended or revoked. </w:t>
      </w:r>
    </w:p>
    <w:p w14:paraId="447D5A0E"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Pharmacist becomes aware through “Know your Prescriber” Policy and Procedure.</w:t>
      </w:r>
    </w:p>
    <w:p w14:paraId="17F49A37"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The prescriptions for controlled substances contain nonspecific or no diagnoses</w:t>
      </w:r>
    </w:p>
    <w:p w14:paraId="1DCCDC44"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The prescriptions are commonly for the highest strength of the drug and/or for large quantities</w:t>
      </w:r>
    </w:p>
    <w:p w14:paraId="572ADD97" w14:textId="77777777"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Patients are traveling in groups, groups of patient’s present prescriptions for the same controlled substance from the same prescriber or multiple family members or patients living at the same address present similar controlled substance prescriptions to the pharmacy on the same day.</w:t>
      </w:r>
    </w:p>
    <w:p w14:paraId="2283CF3C" w14:textId="35B2016C"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Prescriptions that are missing information- DEA, Prescribers Phone Number, Prescribers Address, Prescribers Signature.</w:t>
      </w:r>
    </w:p>
    <w:p w14:paraId="08ED50CC" w14:textId="329B9C50" w:rsidR="001144E9" w:rsidRPr="009C1960" w:rsidRDefault="001144E9" w:rsidP="001144E9">
      <w:pPr>
        <w:pStyle w:val="ListParagraph"/>
        <w:numPr>
          <w:ilvl w:val="0"/>
          <w:numId w:val="1"/>
        </w:numPr>
        <w:rPr>
          <w:rFonts w:ascii="Times New Roman" w:hAnsi="Times New Roman" w:cs="Times New Roman"/>
          <w:b/>
          <w:bCs/>
          <w:sz w:val="24"/>
          <w:szCs w:val="24"/>
          <w:u w:val="single"/>
        </w:rPr>
      </w:pPr>
      <w:r w:rsidRPr="009C1960">
        <w:rPr>
          <w:rFonts w:ascii="Times New Roman" w:hAnsi="Times New Roman" w:cs="Times New Roman"/>
          <w:sz w:val="24"/>
          <w:szCs w:val="24"/>
        </w:rPr>
        <w:t xml:space="preserve">Prescribing of </w:t>
      </w:r>
      <w:r w:rsidR="00102B11" w:rsidRPr="009C1960">
        <w:rPr>
          <w:rFonts w:ascii="Times New Roman" w:hAnsi="Times New Roman" w:cs="Times New Roman"/>
          <w:sz w:val="24"/>
          <w:szCs w:val="24"/>
        </w:rPr>
        <w:t>combinations,</w:t>
      </w:r>
      <w:r w:rsidRPr="009C1960">
        <w:rPr>
          <w:rFonts w:ascii="Times New Roman" w:hAnsi="Times New Roman" w:cs="Times New Roman"/>
          <w:sz w:val="24"/>
          <w:szCs w:val="24"/>
        </w:rPr>
        <w:t xml:space="preserve"> the DEA has identified as having a high potential for abuse (example: Oxycodone/Hydrocodone, alprazolam and carisoprodol)</w:t>
      </w:r>
    </w:p>
    <w:p w14:paraId="4E98646B" w14:textId="31994B24" w:rsidR="007A4BD0" w:rsidRPr="007A4BD0" w:rsidRDefault="007A4BD0" w:rsidP="007A4BD0">
      <w:pPr>
        <w:ind w:firstLine="720"/>
        <w:rPr>
          <w:rFonts w:ascii="Times New Roman" w:eastAsia="MS Mincho" w:hAnsi="Times New Roman" w:cs="Times New Roman"/>
          <w:b/>
          <w:sz w:val="24"/>
          <w:szCs w:val="24"/>
          <w:u w:val="single"/>
        </w:rPr>
      </w:pPr>
      <w:r w:rsidRPr="007A4BD0">
        <w:rPr>
          <w:rFonts w:ascii="Times New Roman" w:eastAsia="MS Mincho" w:hAnsi="Times New Roman" w:cs="Times New Roman"/>
          <w:b/>
          <w:sz w:val="24"/>
          <w:szCs w:val="24"/>
          <w:u w:val="single"/>
        </w:rPr>
        <w:t>D</w:t>
      </w:r>
      <w:r w:rsidRPr="007A4BD0">
        <w:rPr>
          <w:rFonts w:ascii="Times New Roman" w:eastAsia="MS Mincho" w:hAnsi="Times New Roman" w:cs="Times New Roman"/>
          <w:b/>
          <w:sz w:val="24"/>
          <w:szCs w:val="24"/>
          <w:u w:val="single"/>
        </w:rPr>
        <w:t xml:space="preserve">ue </w:t>
      </w:r>
      <w:r w:rsidRPr="007A4BD0">
        <w:rPr>
          <w:rFonts w:ascii="Times New Roman" w:eastAsia="MS Mincho" w:hAnsi="Times New Roman" w:cs="Times New Roman"/>
          <w:b/>
          <w:sz w:val="24"/>
          <w:szCs w:val="24"/>
          <w:u w:val="single"/>
        </w:rPr>
        <w:t>D</w:t>
      </w:r>
      <w:r w:rsidRPr="007A4BD0">
        <w:rPr>
          <w:rFonts w:ascii="Times New Roman" w:eastAsia="MS Mincho" w:hAnsi="Times New Roman" w:cs="Times New Roman"/>
          <w:b/>
          <w:sz w:val="24"/>
          <w:szCs w:val="24"/>
          <w:u w:val="single"/>
        </w:rPr>
        <w:t>iligence and verification</w:t>
      </w:r>
      <w:r w:rsidRPr="007A4BD0">
        <w:rPr>
          <w:rFonts w:ascii="Times New Roman" w:eastAsia="MS Mincho" w:hAnsi="Times New Roman" w:cs="Times New Roman"/>
          <w:b/>
          <w:sz w:val="24"/>
          <w:szCs w:val="24"/>
          <w:u w:val="single"/>
        </w:rPr>
        <w:t>:</w:t>
      </w:r>
    </w:p>
    <w:p w14:paraId="21E48084" w14:textId="6FE8BC9A" w:rsidR="001D0E4F" w:rsidRPr="009C1960" w:rsidRDefault="004E5ACC" w:rsidP="007A4BD0">
      <w:pPr>
        <w:ind w:firstLine="720"/>
        <w:rPr>
          <w:rFonts w:ascii="Times New Roman" w:hAnsi="Times New Roman" w:cs="Times New Roman"/>
          <w:b/>
          <w:bCs/>
          <w:sz w:val="24"/>
          <w:szCs w:val="24"/>
          <w:u w:val="single"/>
        </w:rPr>
      </w:pPr>
      <w:r w:rsidRPr="009C1960">
        <w:rPr>
          <w:rFonts w:ascii="Times New Roman" w:hAnsi="Times New Roman" w:cs="Times New Roman"/>
          <w:b/>
          <w:bCs/>
          <w:sz w:val="24"/>
          <w:szCs w:val="24"/>
          <w:u w:val="single"/>
        </w:rPr>
        <w:t>Prescriber:</w:t>
      </w:r>
    </w:p>
    <w:p w14:paraId="488673EF" w14:textId="13B46F8E" w:rsidR="00F65450" w:rsidRPr="009C1960" w:rsidRDefault="004E5ACC" w:rsidP="004E5ACC">
      <w:pPr>
        <w:pStyle w:val="ListParagraph"/>
        <w:numPr>
          <w:ilvl w:val="0"/>
          <w:numId w:val="6"/>
        </w:numPr>
        <w:rPr>
          <w:rFonts w:ascii="Times New Roman" w:hAnsi="Times New Roman" w:cs="Times New Roman"/>
          <w:sz w:val="24"/>
          <w:szCs w:val="24"/>
        </w:rPr>
      </w:pPr>
      <w:r w:rsidRPr="009C1960">
        <w:rPr>
          <w:rFonts w:ascii="Times New Roman" w:hAnsi="Times New Roman" w:cs="Times New Roman"/>
          <w:sz w:val="24"/>
          <w:szCs w:val="24"/>
        </w:rPr>
        <w:t>Pharmacist notice a large number of control prescriptions coming from the same prescriber</w:t>
      </w:r>
      <w:r w:rsidR="004F5F6B" w:rsidRPr="009C1960">
        <w:rPr>
          <w:rFonts w:ascii="Times New Roman" w:hAnsi="Times New Roman" w:cs="Times New Roman"/>
          <w:sz w:val="24"/>
          <w:szCs w:val="24"/>
        </w:rPr>
        <w:t>.</w:t>
      </w:r>
    </w:p>
    <w:p w14:paraId="0C284DB1" w14:textId="6C873B18" w:rsidR="006748F5" w:rsidRPr="009C1960" w:rsidRDefault="006748F5" w:rsidP="004E5ACC">
      <w:pPr>
        <w:pStyle w:val="ListParagraph"/>
        <w:numPr>
          <w:ilvl w:val="0"/>
          <w:numId w:val="6"/>
        </w:numPr>
        <w:rPr>
          <w:rFonts w:ascii="Times New Roman" w:hAnsi="Times New Roman" w:cs="Times New Roman"/>
          <w:sz w:val="24"/>
          <w:szCs w:val="24"/>
        </w:rPr>
      </w:pPr>
      <w:r w:rsidRPr="009C1960">
        <w:rPr>
          <w:rFonts w:ascii="Times New Roman" w:hAnsi="Times New Roman" w:cs="Times New Roman"/>
          <w:sz w:val="24"/>
          <w:szCs w:val="24"/>
        </w:rPr>
        <w:t xml:space="preserve">Pharmacist notice a medication is prescribed to a patient but </w:t>
      </w:r>
      <w:r w:rsidR="00BE2C3B" w:rsidRPr="009C1960">
        <w:rPr>
          <w:rFonts w:ascii="Times New Roman" w:hAnsi="Times New Roman" w:cs="Times New Roman"/>
          <w:sz w:val="24"/>
          <w:szCs w:val="24"/>
        </w:rPr>
        <w:t>the prescriber is an ophthalmologist etc.</w:t>
      </w:r>
    </w:p>
    <w:p w14:paraId="1AF2F770" w14:textId="3969F3D7" w:rsidR="00BE2C3B" w:rsidRPr="009C1960" w:rsidRDefault="00BE2C3B" w:rsidP="004E5ACC">
      <w:pPr>
        <w:pStyle w:val="ListParagraph"/>
        <w:numPr>
          <w:ilvl w:val="0"/>
          <w:numId w:val="6"/>
        </w:numPr>
        <w:rPr>
          <w:rFonts w:ascii="Times New Roman" w:hAnsi="Times New Roman" w:cs="Times New Roman"/>
          <w:sz w:val="24"/>
          <w:szCs w:val="24"/>
        </w:rPr>
      </w:pPr>
      <w:r w:rsidRPr="009C1960">
        <w:rPr>
          <w:rFonts w:ascii="Times New Roman" w:hAnsi="Times New Roman" w:cs="Times New Roman"/>
          <w:sz w:val="24"/>
          <w:szCs w:val="24"/>
        </w:rPr>
        <w:t>Patient remains on long-term high dose opioid long after an injury has healed.</w:t>
      </w:r>
    </w:p>
    <w:p w14:paraId="30BC5965" w14:textId="6AC7BDBD" w:rsidR="00BE2C3B" w:rsidRPr="009C1960" w:rsidRDefault="00BE2C3B" w:rsidP="004E5ACC">
      <w:pPr>
        <w:pStyle w:val="ListParagraph"/>
        <w:numPr>
          <w:ilvl w:val="0"/>
          <w:numId w:val="6"/>
        </w:numPr>
        <w:rPr>
          <w:rFonts w:ascii="Times New Roman" w:hAnsi="Times New Roman" w:cs="Times New Roman"/>
          <w:sz w:val="24"/>
          <w:szCs w:val="24"/>
        </w:rPr>
      </w:pPr>
      <w:r w:rsidRPr="009C1960">
        <w:rPr>
          <w:rFonts w:ascii="Times New Roman" w:hAnsi="Times New Roman" w:cs="Times New Roman"/>
          <w:sz w:val="24"/>
          <w:szCs w:val="24"/>
        </w:rPr>
        <w:t>Prescriber routinely prescribers the same combination of pain drugs for most or all of their patients. Prescribes combinations the DEA has identified as having a high potential for abuse.</w:t>
      </w:r>
    </w:p>
    <w:p w14:paraId="0BC6E816" w14:textId="37B5BBD9" w:rsidR="00BE2C3B" w:rsidRPr="009C1960" w:rsidRDefault="00BE2C3B" w:rsidP="004E5ACC">
      <w:pPr>
        <w:pStyle w:val="ListParagraph"/>
        <w:numPr>
          <w:ilvl w:val="0"/>
          <w:numId w:val="6"/>
        </w:numPr>
        <w:rPr>
          <w:rFonts w:ascii="Times New Roman" w:hAnsi="Times New Roman" w:cs="Times New Roman"/>
          <w:sz w:val="24"/>
          <w:szCs w:val="24"/>
        </w:rPr>
      </w:pPr>
      <w:r w:rsidRPr="009C1960">
        <w:rPr>
          <w:rFonts w:ascii="Times New Roman" w:hAnsi="Times New Roman" w:cs="Times New Roman"/>
          <w:sz w:val="24"/>
          <w:szCs w:val="24"/>
        </w:rPr>
        <w:t xml:space="preserve">Prescriber is overprescribing large doses of controlled substances to patients. </w:t>
      </w:r>
    </w:p>
    <w:p w14:paraId="34DBA87F" w14:textId="4FF5C39F" w:rsidR="004F5F6B" w:rsidRPr="009C1960" w:rsidRDefault="004F5F6B" w:rsidP="004F5F6B">
      <w:pPr>
        <w:pStyle w:val="ListParagraph"/>
        <w:numPr>
          <w:ilvl w:val="1"/>
          <w:numId w:val="6"/>
        </w:numPr>
        <w:rPr>
          <w:rFonts w:ascii="Times New Roman" w:hAnsi="Times New Roman" w:cs="Times New Roman"/>
          <w:sz w:val="24"/>
          <w:szCs w:val="24"/>
        </w:rPr>
      </w:pPr>
      <w:r w:rsidRPr="009C1960">
        <w:rPr>
          <w:rFonts w:ascii="Times New Roman" w:hAnsi="Times New Roman" w:cs="Times New Roman"/>
          <w:sz w:val="24"/>
          <w:szCs w:val="24"/>
        </w:rPr>
        <w:lastRenderedPageBreak/>
        <w:t>Pharmacist will contact the prescriber’s office and verify the prescriber’s information</w:t>
      </w:r>
      <w:r w:rsidR="006748F5" w:rsidRPr="009C1960">
        <w:rPr>
          <w:rFonts w:ascii="Times New Roman" w:hAnsi="Times New Roman" w:cs="Times New Roman"/>
          <w:sz w:val="24"/>
          <w:szCs w:val="24"/>
        </w:rPr>
        <w:t xml:space="preserve"> and speak with the prescriber themselves</w:t>
      </w:r>
      <w:r w:rsidRPr="009C1960">
        <w:rPr>
          <w:rFonts w:ascii="Times New Roman" w:hAnsi="Times New Roman" w:cs="Times New Roman"/>
          <w:sz w:val="24"/>
          <w:szCs w:val="24"/>
        </w:rPr>
        <w:t>.</w:t>
      </w:r>
    </w:p>
    <w:p w14:paraId="0F8087D1" w14:textId="0A50FDC7" w:rsidR="004F5F6B" w:rsidRPr="009C1960" w:rsidRDefault="004F5F6B" w:rsidP="004F5F6B">
      <w:pPr>
        <w:pStyle w:val="ListParagraph"/>
        <w:numPr>
          <w:ilvl w:val="1"/>
          <w:numId w:val="6"/>
        </w:numPr>
        <w:rPr>
          <w:rFonts w:ascii="Times New Roman" w:hAnsi="Times New Roman" w:cs="Times New Roman"/>
          <w:sz w:val="24"/>
          <w:szCs w:val="24"/>
        </w:rPr>
      </w:pPr>
      <w:r w:rsidRPr="009C1960">
        <w:rPr>
          <w:rFonts w:ascii="Times New Roman" w:hAnsi="Times New Roman" w:cs="Times New Roman"/>
          <w:sz w:val="24"/>
          <w:szCs w:val="24"/>
        </w:rPr>
        <w:t>Pharmacist will look up the prescriber’s NPI, DEA, and license.</w:t>
      </w:r>
    </w:p>
    <w:p w14:paraId="1DDD69D3" w14:textId="44E1A9F9" w:rsidR="001144E9" w:rsidRPr="009C1960" w:rsidRDefault="009C1960" w:rsidP="001144E9">
      <w:pPr>
        <w:ind w:left="360"/>
        <w:rPr>
          <w:rFonts w:ascii="Times New Roman" w:hAnsi="Times New Roman" w:cs="Times New Roman"/>
          <w:b/>
          <w:bCs/>
          <w:sz w:val="24"/>
          <w:szCs w:val="24"/>
          <w:u w:val="single"/>
        </w:rPr>
      </w:pPr>
      <w:r w:rsidRPr="009C1960">
        <w:rPr>
          <w:rFonts w:ascii="Times New Roman" w:hAnsi="Times New Roman" w:cs="Times New Roman"/>
          <w:b/>
          <w:bCs/>
          <w:sz w:val="24"/>
          <w:szCs w:val="24"/>
          <w:u w:val="single"/>
        </w:rPr>
        <w:t>Facility Verification:</w:t>
      </w:r>
    </w:p>
    <w:p w14:paraId="2042839C" w14:textId="7DA69DF8" w:rsidR="009C1960" w:rsidRPr="009C1960" w:rsidRDefault="009C1960" w:rsidP="009C1960">
      <w:pPr>
        <w:pStyle w:val="ListParagraph"/>
        <w:numPr>
          <w:ilvl w:val="0"/>
          <w:numId w:val="8"/>
        </w:numPr>
        <w:rPr>
          <w:rFonts w:ascii="Times New Roman" w:hAnsi="Times New Roman" w:cs="Times New Roman"/>
          <w:sz w:val="24"/>
          <w:szCs w:val="24"/>
        </w:rPr>
      </w:pPr>
      <w:r w:rsidRPr="009C1960">
        <w:rPr>
          <w:rFonts w:ascii="Times New Roman" w:hAnsi="Times New Roman" w:cs="Times New Roman"/>
          <w:sz w:val="24"/>
          <w:szCs w:val="24"/>
        </w:rPr>
        <w:t xml:space="preserve">Pharmacist are encouraged to visit all control substance providers in their immediate area or providers that they are filling for.  </w:t>
      </w:r>
    </w:p>
    <w:p w14:paraId="6BF9BEA7" w14:textId="77777777" w:rsidR="009C1960" w:rsidRPr="009C1960" w:rsidRDefault="009C1960" w:rsidP="009C1960">
      <w:pPr>
        <w:pStyle w:val="ListParagraph"/>
        <w:numPr>
          <w:ilvl w:val="0"/>
          <w:numId w:val="8"/>
        </w:numPr>
        <w:rPr>
          <w:rFonts w:ascii="Times New Roman" w:hAnsi="Times New Roman" w:cs="Times New Roman"/>
          <w:sz w:val="24"/>
          <w:szCs w:val="24"/>
        </w:rPr>
      </w:pPr>
      <w:r w:rsidRPr="009C1960">
        <w:rPr>
          <w:rFonts w:ascii="Times New Roman" w:hAnsi="Times New Roman" w:cs="Times New Roman"/>
          <w:sz w:val="24"/>
          <w:szCs w:val="24"/>
        </w:rPr>
        <w:t xml:space="preserve">Pharmacist should make an unannounced visit of the facility. This visit is to validate the legitimacy of the practice. </w:t>
      </w:r>
    </w:p>
    <w:p w14:paraId="47A688E9" w14:textId="0F305355"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Reception area</w:t>
      </w:r>
    </w:p>
    <w:p w14:paraId="17B7219F" w14:textId="3C9FFF94"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Receptionist</w:t>
      </w:r>
    </w:p>
    <w:p w14:paraId="6D5EA390" w14:textId="489B0F32"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Nursing Staff</w:t>
      </w:r>
    </w:p>
    <w:p w14:paraId="56A1281A" w14:textId="6B81A84B"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Patient Rooms</w:t>
      </w:r>
    </w:p>
    <w:p w14:paraId="4AA88009" w14:textId="710E1758"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 xml:space="preserve">Lab collection and evaluation rooms </w:t>
      </w:r>
    </w:p>
    <w:p w14:paraId="37F8F5A9" w14:textId="3903FB79" w:rsidR="009C1960" w:rsidRPr="009C1960" w:rsidRDefault="009C1960" w:rsidP="009C1960">
      <w:pPr>
        <w:pStyle w:val="ListParagraph"/>
        <w:numPr>
          <w:ilvl w:val="0"/>
          <w:numId w:val="8"/>
        </w:numPr>
        <w:rPr>
          <w:rFonts w:ascii="Times New Roman" w:hAnsi="Times New Roman" w:cs="Times New Roman"/>
          <w:sz w:val="24"/>
          <w:szCs w:val="24"/>
        </w:rPr>
      </w:pPr>
      <w:r w:rsidRPr="009C1960">
        <w:rPr>
          <w:rFonts w:ascii="Times New Roman" w:hAnsi="Times New Roman" w:cs="Times New Roman"/>
          <w:sz w:val="24"/>
          <w:szCs w:val="24"/>
        </w:rPr>
        <w:t>Pharmacist should do a google earth search of the facility and ensure that it is a true location.</w:t>
      </w:r>
    </w:p>
    <w:p w14:paraId="68D31D4F" w14:textId="6AA9299A" w:rsidR="009C1960" w:rsidRPr="009C1960" w:rsidRDefault="009C1960" w:rsidP="009C1960">
      <w:pPr>
        <w:pStyle w:val="ListParagraph"/>
        <w:numPr>
          <w:ilvl w:val="0"/>
          <w:numId w:val="8"/>
        </w:numPr>
        <w:rPr>
          <w:rFonts w:ascii="Times New Roman" w:hAnsi="Times New Roman" w:cs="Times New Roman"/>
          <w:sz w:val="24"/>
          <w:szCs w:val="24"/>
        </w:rPr>
      </w:pPr>
      <w:r w:rsidRPr="009C1960">
        <w:rPr>
          <w:rFonts w:ascii="Times New Roman" w:hAnsi="Times New Roman" w:cs="Times New Roman"/>
          <w:sz w:val="24"/>
          <w:szCs w:val="24"/>
        </w:rPr>
        <w:t>Does the facility conduct drug testing?</w:t>
      </w:r>
    </w:p>
    <w:p w14:paraId="633FDA38" w14:textId="4044E009"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Random</w:t>
      </w:r>
    </w:p>
    <w:p w14:paraId="148EE5CE" w14:textId="2729B1B9"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Announced</w:t>
      </w:r>
    </w:p>
    <w:p w14:paraId="7D25D776" w14:textId="7C4ABE8C" w:rsidR="009C1960" w:rsidRPr="009C1960" w:rsidRDefault="009C1960" w:rsidP="009C1960">
      <w:pPr>
        <w:pStyle w:val="ListParagraph"/>
        <w:numPr>
          <w:ilvl w:val="1"/>
          <w:numId w:val="8"/>
        </w:numPr>
        <w:rPr>
          <w:rFonts w:ascii="Times New Roman" w:hAnsi="Times New Roman" w:cs="Times New Roman"/>
          <w:sz w:val="24"/>
          <w:szCs w:val="24"/>
        </w:rPr>
      </w:pPr>
      <w:r w:rsidRPr="009C1960">
        <w:rPr>
          <w:rFonts w:ascii="Times New Roman" w:hAnsi="Times New Roman" w:cs="Times New Roman"/>
          <w:sz w:val="24"/>
          <w:szCs w:val="24"/>
        </w:rPr>
        <w:t>What is their policy if patient is positive?</w:t>
      </w:r>
    </w:p>
    <w:p w14:paraId="52318584" w14:textId="77777777" w:rsidR="001144E9" w:rsidRPr="009C1960" w:rsidRDefault="001144E9" w:rsidP="001144E9">
      <w:pPr>
        <w:ind w:left="360"/>
        <w:rPr>
          <w:rFonts w:ascii="Times New Roman" w:hAnsi="Times New Roman" w:cs="Times New Roman"/>
          <w:sz w:val="24"/>
          <w:szCs w:val="24"/>
        </w:rPr>
      </w:pPr>
      <w:r w:rsidRPr="009C1960">
        <w:rPr>
          <w:rFonts w:ascii="Times New Roman" w:hAnsi="Times New Roman" w:cs="Times New Roman"/>
          <w:sz w:val="24"/>
          <w:szCs w:val="24"/>
        </w:rPr>
        <w:t>No matter whom you work for or work with you do NOT have to fill every prescription that comes across the counter. While it is true nobody wants to turn away business or disappoint a patient, the pharmacist must use professional judgement.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4"/>
        <w:gridCol w:w="4666"/>
      </w:tblGrid>
      <w:tr w:rsidR="007A4BD0" w:rsidRPr="00595A24" w14:paraId="79FE82EC" w14:textId="77777777" w:rsidTr="00CE1B40">
        <w:trPr>
          <w:jc w:val="center"/>
        </w:trPr>
        <w:tc>
          <w:tcPr>
            <w:tcW w:w="4788" w:type="dxa"/>
          </w:tcPr>
          <w:p w14:paraId="38FBD102" w14:textId="77777777" w:rsidR="007A4BD0" w:rsidRPr="00F21D62" w:rsidRDefault="007A4BD0" w:rsidP="00CE1B40">
            <w:pPr>
              <w:rPr>
                <w:rFonts w:ascii="Times New Roman" w:hAnsi="Times New Roman" w:cs="Times New Roman"/>
                <w:sz w:val="24"/>
                <w:szCs w:val="24"/>
              </w:rPr>
            </w:pPr>
            <w:r>
              <w:rPr>
                <w:rFonts w:ascii="Times New Roman" w:hAnsi="Times New Roman" w:cs="Times New Roman"/>
                <w:sz w:val="24"/>
                <w:szCs w:val="24"/>
              </w:rPr>
              <w:t>Title</w:t>
            </w:r>
          </w:p>
        </w:tc>
        <w:tc>
          <w:tcPr>
            <w:tcW w:w="4788" w:type="dxa"/>
          </w:tcPr>
          <w:p w14:paraId="2F8E1D15" w14:textId="77777777" w:rsidR="007A4BD0" w:rsidRPr="00F21D62" w:rsidRDefault="007A4BD0" w:rsidP="00CE1B40">
            <w:pPr>
              <w:rPr>
                <w:rFonts w:ascii="Times New Roman" w:hAnsi="Times New Roman" w:cs="Times New Roman"/>
                <w:sz w:val="24"/>
                <w:szCs w:val="24"/>
              </w:rPr>
            </w:pPr>
            <w:r w:rsidRPr="00F21D62">
              <w:rPr>
                <w:rFonts w:ascii="Times New Roman" w:hAnsi="Times New Roman" w:cs="Times New Roman"/>
                <w:sz w:val="24"/>
                <w:szCs w:val="24"/>
              </w:rPr>
              <w:t>Date</w:t>
            </w:r>
          </w:p>
        </w:tc>
      </w:tr>
      <w:tr w:rsidR="007A4BD0" w:rsidRPr="00595A24" w14:paraId="56E85089" w14:textId="77777777" w:rsidTr="00CE1B40">
        <w:trPr>
          <w:jc w:val="center"/>
        </w:trPr>
        <w:tc>
          <w:tcPr>
            <w:tcW w:w="4788" w:type="dxa"/>
          </w:tcPr>
          <w:p w14:paraId="33F17ED6" w14:textId="77777777" w:rsidR="007A4BD0" w:rsidRPr="00595A24" w:rsidRDefault="007A4BD0" w:rsidP="00CE1B40">
            <w:pPr>
              <w:rPr>
                <w:sz w:val="18"/>
                <w:szCs w:val="18"/>
              </w:rPr>
            </w:pPr>
            <w:r w:rsidRPr="008D07FF">
              <w:rPr>
                <w:rFonts w:ascii="Times New Roman" w:hAnsi="Times New Roman" w:cs="Times New Roman"/>
                <w:sz w:val="18"/>
                <w:szCs w:val="18"/>
              </w:rPr>
              <w:t>SIGNATURE</w:t>
            </w:r>
            <w:r w:rsidRPr="4788C639">
              <w:rPr>
                <w:sz w:val="18"/>
                <w:szCs w:val="18"/>
              </w:rPr>
              <w:t>:</w:t>
            </w:r>
          </w:p>
          <w:p w14:paraId="529BAF2F" w14:textId="77777777" w:rsidR="007A4BD0" w:rsidRPr="00595A24" w:rsidRDefault="007A4BD0" w:rsidP="00CE1B40">
            <w:pPr>
              <w:rPr>
                <w:sz w:val="18"/>
                <w:szCs w:val="18"/>
              </w:rPr>
            </w:pPr>
          </w:p>
          <w:p w14:paraId="399C76F1" w14:textId="77777777" w:rsidR="007A4BD0" w:rsidRPr="00595A24" w:rsidRDefault="007A4BD0" w:rsidP="00CE1B40">
            <w:pPr>
              <w:rPr>
                <w:rFonts w:cs="Times New Roman"/>
                <w:sz w:val="18"/>
                <w:szCs w:val="18"/>
              </w:rPr>
            </w:pPr>
            <w:r w:rsidRPr="00595A24">
              <w:rPr>
                <w:rFonts w:cs="Times New Roman"/>
                <w:sz w:val="18"/>
                <w:szCs w:val="18"/>
              </w:rPr>
              <w:br/>
            </w:r>
          </w:p>
        </w:tc>
        <w:tc>
          <w:tcPr>
            <w:tcW w:w="4788" w:type="dxa"/>
          </w:tcPr>
          <w:p w14:paraId="428BBF5C" w14:textId="77777777" w:rsidR="007A4BD0" w:rsidRDefault="007A4BD0" w:rsidP="00CE1B40">
            <w:pPr>
              <w:rPr>
                <w:rFonts w:cs="Times New Roman"/>
                <w:sz w:val="18"/>
                <w:szCs w:val="18"/>
              </w:rPr>
            </w:pPr>
          </w:p>
          <w:p w14:paraId="06391507" w14:textId="77777777" w:rsidR="007A4BD0" w:rsidRPr="00595A24" w:rsidRDefault="007A4BD0" w:rsidP="00CE1B40">
            <w:pPr>
              <w:rPr>
                <w:sz w:val="18"/>
                <w:szCs w:val="18"/>
              </w:rPr>
            </w:pPr>
            <w:r w:rsidRPr="5CE0F41C">
              <w:rPr>
                <w:sz w:val="18"/>
                <w:szCs w:val="18"/>
              </w:rPr>
              <w:t xml:space="preserve">    </w:t>
            </w:r>
          </w:p>
        </w:tc>
      </w:tr>
    </w:tbl>
    <w:p w14:paraId="05BE004F" w14:textId="3B5B6C11" w:rsidR="004F5F6B" w:rsidRPr="009C1960" w:rsidRDefault="004F5F6B" w:rsidP="009C1960">
      <w:pPr>
        <w:pStyle w:val="ListParagraph"/>
        <w:ind w:left="1440"/>
        <w:rPr>
          <w:rFonts w:ascii="Times New Roman" w:hAnsi="Times New Roman" w:cs="Times New Roman"/>
          <w:sz w:val="24"/>
          <w:szCs w:val="24"/>
        </w:rPr>
      </w:pPr>
    </w:p>
    <w:sectPr w:rsidR="004F5F6B" w:rsidRPr="009C19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BD13" w14:textId="77777777" w:rsidR="00407F88" w:rsidRDefault="00407F88" w:rsidP="00723B02">
      <w:pPr>
        <w:spacing w:after="0" w:line="240" w:lineRule="auto"/>
      </w:pPr>
      <w:r>
        <w:separator/>
      </w:r>
    </w:p>
  </w:endnote>
  <w:endnote w:type="continuationSeparator" w:id="0">
    <w:p w14:paraId="11D1A328" w14:textId="77777777" w:rsidR="00407F88" w:rsidRDefault="00407F88" w:rsidP="0072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6DA" w14:textId="5B26F214" w:rsidR="00723B02" w:rsidRDefault="00723B02">
    <w:pPr>
      <w:pStyle w:val="Footer"/>
    </w:pPr>
    <w:r w:rsidRPr="00B83A48">
      <w:rPr>
        <w:i/>
        <w:iCs/>
        <w:sz w:val="20"/>
        <w:szCs w:val="20"/>
      </w:rPr>
      <w:t>Proprietary and Confidential</w:t>
    </w:r>
  </w:p>
  <w:p w14:paraId="3C83B538" w14:textId="77777777" w:rsidR="00723B02" w:rsidRDefault="0072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8524" w14:textId="77777777" w:rsidR="00407F88" w:rsidRDefault="00407F88" w:rsidP="00723B02">
      <w:pPr>
        <w:spacing w:after="0" w:line="240" w:lineRule="auto"/>
      </w:pPr>
      <w:r>
        <w:separator/>
      </w:r>
    </w:p>
  </w:footnote>
  <w:footnote w:type="continuationSeparator" w:id="0">
    <w:p w14:paraId="13F0945C" w14:textId="77777777" w:rsidR="00407F88" w:rsidRDefault="00407F88" w:rsidP="0072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D744" w14:textId="46CC5F37" w:rsidR="00723B02" w:rsidRDefault="00723B02">
    <w:pPr>
      <w:pStyle w:val="Header"/>
    </w:pPr>
  </w:p>
  <w:tbl>
    <w:tblPr>
      <w:tblW w:w="109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5233"/>
      <w:gridCol w:w="2383"/>
    </w:tblGrid>
    <w:tr w:rsidR="00723B02" w:rsidRPr="00595A24" w14:paraId="65594A49" w14:textId="77777777" w:rsidTr="00CE1B40">
      <w:trPr>
        <w:trHeight w:val="1520"/>
      </w:trPr>
      <w:tc>
        <w:tcPr>
          <w:tcW w:w="3330" w:type="dxa"/>
          <w:vMerge w:val="restart"/>
          <w:vAlign w:val="center"/>
        </w:tcPr>
        <w:p w14:paraId="35562AF0" w14:textId="77777777" w:rsidR="00723B02" w:rsidRPr="00595A24" w:rsidRDefault="00723B02" w:rsidP="00723B02">
          <w:pPr>
            <w:tabs>
              <w:tab w:val="left" w:pos="4950"/>
              <w:tab w:val="left" w:pos="7110"/>
            </w:tabs>
            <w:rPr>
              <w:rFonts w:cs="Times New Roman"/>
              <w:b/>
              <w:bCs/>
              <w:sz w:val="2"/>
              <w:szCs w:val="2"/>
            </w:rPr>
          </w:pPr>
          <w:r>
            <w:rPr>
              <w:noProof/>
            </w:rPr>
            <w:t>{Companies Logo}</w:t>
          </w:r>
        </w:p>
      </w:tc>
      <w:tc>
        <w:tcPr>
          <w:tcW w:w="5233" w:type="dxa"/>
          <w:shd w:val="clear" w:color="auto" w:fill="D9D9D9" w:themeFill="background1" w:themeFillShade="D9"/>
          <w:vAlign w:val="center"/>
        </w:tcPr>
        <w:p w14:paraId="45BA0DDB" w14:textId="77777777" w:rsidR="00723B02" w:rsidRDefault="00723B02" w:rsidP="00723B02">
          <w:pPr>
            <w:pStyle w:val="NoSpacing"/>
            <w:jc w:val="center"/>
            <w:rPr>
              <w:b/>
              <w:bCs/>
              <w:sz w:val="30"/>
              <w:szCs w:val="30"/>
            </w:rPr>
          </w:pPr>
          <w:r>
            <w:rPr>
              <w:b/>
              <w:bCs/>
              <w:sz w:val="30"/>
              <w:szCs w:val="30"/>
            </w:rPr>
            <w:t>Company Name</w:t>
          </w:r>
        </w:p>
        <w:p w14:paraId="0DB26E24" w14:textId="77777777" w:rsidR="00723B02" w:rsidRPr="00595A24" w:rsidRDefault="00723B02" w:rsidP="00723B02">
          <w:pPr>
            <w:pStyle w:val="NoSpacing"/>
            <w:jc w:val="center"/>
          </w:pPr>
          <w:r>
            <w:rPr>
              <w:b/>
              <w:bCs/>
              <w:sz w:val="30"/>
              <w:szCs w:val="30"/>
            </w:rPr>
            <w:t>Company Address</w:t>
          </w:r>
        </w:p>
      </w:tc>
      <w:tc>
        <w:tcPr>
          <w:tcW w:w="2383" w:type="dxa"/>
          <w:vMerge w:val="restart"/>
          <w:vAlign w:val="center"/>
        </w:tcPr>
        <w:p w14:paraId="11381DEB" w14:textId="77777777" w:rsidR="00723B02" w:rsidRPr="00595A24" w:rsidRDefault="00723B02" w:rsidP="00723B02">
          <w:pPr>
            <w:tabs>
              <w:tab w:val="left" w:pos="3559"/>
              <w:tab w:val="left" w:pos="8640"/>
            </w:tabs>
            <w:spacing w:before="60" w:after="60"/>
            <w:rPr>
              <w:rFonts w:cs="Times New Roman"/>
              <w:sz w:val="20"/>
              <w:szCs w:val="20"/>
            </w:rPr>
          </w:pPr>
          <w:r w:rsidRPr="5CE0F41C">
            <w:rPr>
              <w:sz w:val="20"/>
              <w:szCs w:val="20"/>
            </w:rPr>
            <w:t xml:space="preserve">Document #:  </w:t>
          </w:r>
        </w:p>
        <w:p w14:paraId="30E074BF" w14:textId="77777777" w:rsidR="00723B02" w:rsidRPr="00595A24" w:rsidRDefault="00723B02" w:rsidP="00723B02">
          <w:pPr>
            <w:tabs>
              <w:tab w:val="left" w:pos="3559"/>
              <w:tab w:val="left" w:pos="8640"/>
            </w:tabs>
            <w:spacing w:before="60" w:after="60"/>
            <w:rPr>
              <w:sz w:val="20"/>
              <w:szCs w:val="20"/>
            </w:rPr>
          </w:pPr>
          <w:r w:rsidRPr="1515FCB4">
            <w:rPr>
              <w:sz w:val="20"/>
              <w:szCs w:val="20"/>
            </w:rPr>
            <w:t xml:space="preserve">Version:  </w:t>
          </w:r>
        </w:p>
        <w:p w14:paraId="2DEB9BF4" w14:textId="77777777" w:rsidR="00723B02" w:rsidRDefault="00723B02" w:rsidP="00723B02">
          <w:pPr>
            <w:tabs>
              <w:tab w:val="left" w:pos="3559"/>
              <w:tab w:val="left" w:pos="8640"/>
            </w:tabs>
            <w:spacing w:after="0"/>
            <w:rPr>
              <w:sz w:val="20"/>
              <w:szCs w:val="20"/>
            </w:rPr>
          </w:pPr>
          <w:r w:rsidRPr="367DD5E1">
            <w:rPr>
              <w:sz w:val="20"/>
              <w:szCs w:val="20"/>
            </w:rPr>
            <w:t xml:space="preserve">Original Date: </w:t>
          </w:r>
        </w:p>
        <w:p w14:paraId="42CAADF1" w14:textId="77777777" w:rsidR="00723B02" w:rsidRDefault="00723B02" w:rsidP="00723B02">
          <w:pPr>
            <w:tabs>
              <w:tab w:val="left" w:pos="3559"/>
              <w:tab w:val="left" w:pos="8640"/>
            </w:tabs>
            <w:spacing w:after="0"/>
            <w:rPr>
              <w:sz w:val="20"/>
              <w:szCs w:val="20"/>
            </w:rPr>
          </w:pPr>
          <w:r w:rsidRPr="367DD5E1">
            <w:rPr>
              <w:sz w:val="20"/>
              <w:szCs w:val="20"/>
            </w:rPr>
            <w:t xml:space="preserve">Revision Date: </w:t>
          </w:r>
          <w:r>
            <w:br/>
          </w:r>
          <w:r w:rsidRPr="367DD5E1">
            <w:rPr>
              <w:sz w:val="20"/>
              <w:szCs w:val="20"/>
            </w:rPr>
            <w:t xml:space="preserve"> Document</w:t>
          </w:r>
        </w:p>
        <w:p w14:paraId="747FC945" w14:textId="77777777" w:rsidR="00723B02" w:rsidRPr="00595A24" w:rsidRDefault="00723B02" w:rsidP="00723B02">
          <w:pPr>
            <w:tabs>
              <w:tab w:val="left" w:pos="8640"/>
            </w:tabs>
            <w:spacing w:before="60" w:after="60"/>
            <w:rPr>
              <w:rFonts w:cs="Times New Roman"/>
              <w:sz w:val="20"/>
              <w:szCs w:val="20"/>
            </w:rPr>
          </w:pPr>
          <w:r w:rsidRPr="5CE0F41C">
            <w:rPr>
              <w:sz w:val="20"/>
              <w:szCs w:val="20"/>
            </w:rPr>
            <w:t xml:space="preserve">Page </w:t>
          </w:r>
          <w:r w:rsidRPr="5CE0F41C">
            <w:rPr>
              <w:noProof/>
              <w:sz w:val="20"/>
              <w:szCs w:val="20"/>
            </w:rPr>
            <w:fldChar w:fldCharType="begin"/>
          </w:r>
          <w:r w:rsidRPr="5CE0F41C">
            <w:rPr>
              <w:noProof/>
              <w:sz w:val="20"/>
              <w:szCs w:val="20"/>
            </w:rPr>
            <w:instrText xml:space="preserve"> PAGE </w:instrText>
          </w:r>
          <w:r w:rsidRPr="5CE0F41C">
            <w:rPr>
              <w:noProof/>
              <w:sz w:val="20"/>
              <w:szCs w:val="20"/>
            </w:rPr>
            <w:fldChar w:fldCharType="separate"/>
          </w:r>
          <w:r>
            <w:rPr>
              <w:noProof/>
              <w:sz w:val="20"/>
              <w:szCs w:val="20"/>
            </w:rPr>
            <w:t>7</w:t>
          </w:r>
          <w:r w:rsidRPr="5CE0F41C">
            <w:rPr>
              <w:noProof/>
              <w:sz w:val="20"/>
              <w:szCs w:val="20"/>
            </w:rPr>
            <w:fldChar w:fldCharType="end"/>
          </w:r>
          <w:r w:rsidRPr="5CE0F41C">
            <w:rPr>
              <w:sz w:val="20"/>
              <w:szCs w:val="20"/>
            </w:rPr>
            <w:t xml:space="preserve"> of </w:t>
          </w:r>
          <w:r w:rsidRPr="5CE0F41C">
            <w:rPr>
              <w:noProof/>
              <w:sz w:val="20"/>
              <w:szCs w:val="20"/>
            </w:rPr>
            <w:fldChar w:fldCharType="begin"/>
          </w:r>
          <w:r w:rsidRPr="5CE0F41C">
            <w:rPr>
              <w:noProof/>
              <w:sz w:val="20"/>
              <w:szCs w:val="20"/>
            </w:rPr>
            <w:instrText xml:space="preserve"> NUMPAGES  </w:instrText>
          </w:r>
          <w:r w:rsidRPr="5CE0F41C">
            <w:rPr>
              <w:noProof/>
              <w:sz w:val="20"/>
              <w:szCs w:val="20"/>
            </w:rPr>
            <w:fldChar w:fldCharType="separate"/>
          </w:r>
          <w:r>
            <w:rPr>
              <w:noProof/>
              <w:sz w:val="20"/>
              <w:szCs w:val="20"/>
            </w:rPr>
            <w:t>10</w:t>
          </w:r>
          <w:r w:rsidRPr="5CE0F41C">
            <w:rPr>
              <w:noProof/>
              <w:sz w:val="20"/>
              <w:szCs w:val="20"/>
            </w:rPr>
            <w:fldChar w:fldCharType="end"/>
          </w:r>
        </w:p>
      </w:tc>
    </w:tr>
    <w:tr w:rsidR="00723B02" w:rsidRPr="00595A24" w14:paraId="420ACDAD" w14:textId="77777777" w:rsidTr="00CE1B40">
      <w:trPr>
        <w:trHeight w:val="890"/>
      </w:trPr>
      <w:tc>
        <w:tcPr>
          <w:tcW w:w="3330" w:type="dxa"/>
          <w:vMerge/>
          <w:vAlign w:val="center"/>
        </w:tcPr>
        <w:p w14:paraId="2D83B3DA" w14:textId="77777777" w:rsidR="00723B02" w:rsidRPr="00595A24" w:rsidRDefault="00723B02" w:rsidP="00723B02">
          <w:pPr>
            <w:pStyle w:val="Header"/>
            <w:tabs>
              <w:tab w:val="left" w:pos="4950"/>
              <w:tab w:val="left" w:pos="7110"/>
            </w:tabs>
            <w:jc w:val="center"/>
            <w:rPr>
              <w:rFonts w:cs="Times New Roman"/>
              <w:b/>
              <w:bCs/>
              <w:sz w:val="36"/>
              <w:szCs w:val="36"/>
            </w:rPr>
          </w:pPr>
        </w:p>
      </w:tc>
      <w:tc>
        <w:tcPr>
          <w:tcW w:w="5233" w:type="dxa"/>
          <w:tcMar>
            <w:left w:w="29" w:type="dxa"/>
            <w:right w:w="29" w:type="dxa"/>
          </w:tcMar>
          <w:vAlign w:val="center"/>
        </w:tcPr>
        <w:p w14:paraId="7B332C39" w14:textId="77777777" w:rsidR="00723B02" w:rsidRDefault="00723B02" w:rsidP="00723B02">
          <w:pPr>
            <w:pStyle w:val="Header"/>
            <w:tabs>
              <w:tab w:val="left" w:pos="4950"/>
              <w:tab w:val="left" w:pos="7110"/>
            </w:tabs>
            <w:jc w:val="center"/>
            <w:rPr>
              <w:b/>
              <w:bCs/>
              <w:sz w:val="30"/>
              <w:szCs w:val="30"/>
            </w:rPr>
          </w:pPr>
          <w:r>
            <w:rPr>
              <w:b/>
              <w:bCs/>
              <w:sz w:val="30"/>
              <w:szCs w:val="30"/>
            </w:rPr>
            <w:t>Pharmacist Due Diligence</w:t>
          </w:r>
        </w:p>
        <w:p w14:paraId="30978A2A" w14:textId="75548184" w:rsidR="00723B02" w:rsidRPr="00595A24" w:rsidRDefault="00723B02" w:rsidP="00723B02">
          <w:pPr>
            <w:pStyle w:val="Header"/>
            <w:tabs>
              <w:tab w:val="left" w:pos="4950"/>
              <w:tab w:val="left" w:pos="7110"/>
            </w:tabs>
            <w:jc w:val="center"/>
            <w:rPr>
              <w:rFonts w:cs="Times New Roman"/>
              <w:b/>
              <w:bCs/>
              <w:sz w:val="30"/>
              <w:szCs w:val="30"/>
            </w:rPr>
          </w:pPr>
          <w:r>
            <w:rPr>
              <w:b/>
              <w:bCs/>
              <w:sz w:val="30"/>
              <w:szCs w:val="30"/>
            </w:rPr>
            <w:t>“Know the Prescriber”</w:t>
          </w:r>
        </w:p>
      </w:tc>
      <w:tc>
        <w:tcPr>
          <w:tcW w:w="2383" w:type="dxa"/>
          <w:vMerge/>
          <w:vAlign w:val="center"/>
        </w:tcPr>
        <w:p w14:paraId="409C2A2D" w14:textId="77777777" w:rsidR="00723B02" w:rsidRPr="00595A24" w:rsidRDefault="00723B02" w:rsidP="00723B02">
          <w:pPr>
            <w:pStyle w:val="Header"/>
            <w:tabs>
              <w:tab w:val="left" w:pos="4950"/>
              <w:tab w:val="left" w:pos="7110"/>
            </w:tabs>
            <w:rPr>
              <w:rFonts w:cs="Times New Roman"/>
              <w:b/>
              <w:bCs/>
              <w:noProof/>
              <w:sz w:val="8"/>
              <w:szCs w:val="8"/>
            </w:rPr>
          </w:pPr>
        </w:p>
      </w:tc>
    </w:tr>
  </w:tbl>
  <w:p w14:paraId="118AC739" w14:textId="77777777" w:rsidR="00723B02" w:rsidRDefault="00723B02" w:rsidP="0072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3AF"/>
    <w:multiLevelType w:val="hybridMultilevel"/>
    <w:tmpl w:val="BB5C2F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4986300"/>
    <w:multiLevelType w:val="hybridMultilevel"/>
    <w:tmpl w:val="8AAEBA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8076E"/>
    <w:multiLevelType w:val="hybridMultilevel"/>
    <w:tmpl w:val="0B88C248"/>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C23E2"/>
    <w:multiLevelType w:val="hybridMultilevel"/>
    <w:tmpl w:val="73481BF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BBC6427"/>
    <w:multiLevelType w:val="hybridMultilevel"/>
    <w:tmpl w:val="EBC6B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080447"/>
    <w:multiLevelType w:val="hybridMultilevel"/>
    <w:tmpl w:val="7B249DA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A177373"/>
    <w:multiLevelType w:val="hybridMultilevel"/>
    <w:tmpl w:val="81E002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E762E75"/>
    <w:multiLevelType w:val="hybridMultilevel"/>
    <w:tmpl w:val="FE4AE8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4F"/>
    <w:rsid w:val="000A6867"/>
    <w:rsid w:val="00102B11"/>
    <w:rsid w:val="001144E9"/>
    <w:rsid w:val="001D0E4F"/>
    <w:rsid w:val="00407F88"/>
    <w:rsid w:val="004E5ACC"/>
    <w:rsid w:val="004F5F6B"/>
    <w:rsid w:val="00543860"/>
    <w:rsid w:val="006748F5"/>
    <w:rsid w:val="00723B02"/>
    <w:rsid w:val="007A4BD0"/>
    <w:rsid w:val="00881A2E"/>
    <w:rsid w:val="008916B4"/>
    <w:rsid w:val="009C1960"/>
    <w:rsid w:val="00B769A4"/>
    <w:rsid w:val="00BE2C3B"/>
    <w:rsid w:val="00DA6BA5"/>
    <w:rsid w:val="00E211EB"/>
    <w:rsid w:val="00F65450"/>
    <w:rsid w:val="00F8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215"/>
  <w15:chartTrackingRefBased/>
  <w15:docId w15:val="{1AC3121B-3C03-42EF-80AF-FE0E418D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4F"/>
    <w:pPr>
      <w:ind w:left="720"/>
      <w:contextualSpacing/>
    </w:pPr>
  </w:style>
  <w:style w:type="character" w:styleId="Hyperlink">
    <w:name w:val="Hyperlink"/>
    <w:basedOn w:val="DefaultParagraphFont"/>
    <w:uiPriority w:val="99"/>
    <w:semiHidden/>
    <w:unhideWhenUsed/>
    <w:rsid w:val="001144E9"/>
    <w:rPr>
      <w:color w:val="0000FF"/>
      <w:u w:val="single"/>
    </w:rPr>
  </w:style>
  <w:style w:type="paragraph" w:styleId="Header">
    <w:name w:val="header"/>
    <w:basedOn w:val="Normal"/>
    <w:link w:val="HeaderChar"/>
    <w:uiPriority w:val="99"/>
    <w:unhideWhenUsed/>
    <w:rsid w:val="0072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02"/>
  </w:style>
  <w:style w:type="paragraph" w:styleId="Footer">
    <w:name w:val="footer"/>
    <w:basedOn w:val="Normal"/>
    <w:link w:val="FooterChar"/>
    <w:uiPriority w:val="99"/>
    <w:unhideWhenUsed/>
    <w:rsid w:val="0072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02"/>
  </w:style>
  <w:style w:type="paragraph" w:styleId="NoSpacing">
    <w:name w:val="No Spacing"/>
    <w:link w:val="NoSpacingChar"/>
    <w:qFormat/>
    <w:rsid w:val="00723B02"/>
    <w:pPr>
      <w:spacing w:after="0" w:line="240" w:lineRule="auto"/>
    </w:pPr>
    <w:rPr>
      <w:rFonts w:ascii="Calibri" w:eastAsia="MS ??" w:hAnsi="Calibri" w:cs="Calibri"/>
    </w:rPr>
  </w:style>
  <w:style w:type="character" w:customStyle="1" w:styleId="NoSpacingChar">
    <w:name w:val="No Spacing Char"/>
    <w:basedOn w:val="DefaultParagraphFont"/>
    <w:link w:val="NoSpacing"/>
    <w:rsid w:val="00723B02"/>
    <w:rPr>
      <w:rFonts w:ascii="Calibri" w:eastAsia="MS ??"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Russell Patterson</cp:lastModifiedBy>
  <cp:revision>4</cp:revision>
  <dcterms:created xsi:type="dcterms:W3CDTF">2020-04-28T18:50:00Z</dcterms:created>
  <dcterms:modified xsi:type="dcterms:W3CDTF">2020-05-07T11:04:00Z</dcterms:modified>
</cp:coreProperties>
</file>